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Lund kommunfullmäktige</w:t>
      </w:r>
    </w:p>
    <w:p>
      <w:pPr>
        <w:pStyle w:val="Heading1"/>
      </w:pPr>
      <w:r>
        <w:t xml:space="preserve">Tryggare offentliga platser i centrala Lund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15 % ökning av våldsbrott på Stortorget och kring stationen 2023–2025. Belysning och kameror saknas på flera platser.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installerar LED-belysning och kameror på 12 prioriterade platser.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polis och näringsliv stärks via Trygg i Lund-råd.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nattvandring och ungdomsinsatser utökas under helger.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trygghetsmätning genomförs årligen enligt Brå-modell.</w:t>
      </w:r>
    </w:p>
    <w:p>
      <w:pPr>
        <w:spacing w:before="360"/>
      </w:pPr>
    </w:p>
    <w:p>
      <w:r>
        <w:t xml:space="preserve">Lund,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2026-07-14T04:24:31.912Z</dcterms:created>
  <dcterms:modified xsi:type="dcterms:W3CDTF">2026-07-14T04:24:31.912Z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